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Q2 FY2025-26 P&amp;L COMMENTARY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For Board Review  |  Period: July–September 2025  |  Prepared: Finance Team  |  Date: 20 October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Key Financial Metrics at a Glance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Metric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Q2 FY2025-26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Q2 FY2024-25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Variance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YoY %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Revenue from Operations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8.42 Cr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7.72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+ Rs 0.70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+ 9.1%</w:t>
            </w:r>
          </w:p>
        </w:tc>
      </w:tr>
      <w:tr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Cost of Goods Sold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Rs 5.14 Cr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Rs 4.52 Cr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+ Rs 0.62 Cr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+ 13.7%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Gross Margin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3.28 Cr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3.20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+ Rs 0.08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+ 2.5%</w:t>
            </w:r>
          </w:p>
        </w:tc>
      </w:tr>
      <w:tr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Gross Margin %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39.0%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41.5%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- 250 bps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EBITDA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1.62 Cr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1.76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- Rs 0.14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- 8.0%</w:t>
            </w:r>
          </w:p>
        </w:tc>
      </w:tr>
      <w:tr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EBITDA Margin %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19.2%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22.8%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- 360 bps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PAT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94 Lakhs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1.08 Cr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- Rs 14 Lakhs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- 13.0%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Commentary</w:t>
      </w:r>
    </w:p>
    <w:p>
      <w:pPr>
        <w:spacing w:before="160" w:after="60"/>
      </w:pPr>
      <w:r>
        <w:rPr>
          <w:b/>
          <w:color w:val="1A3C5E"/>
          <w:sz w:val="22"/>
        </w:rPr>
        <w:t>Revenue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Revenue grew 9.1% YoY to Rs 8.42 Cr, driven by a 12% increase in product volumes offset by a modest 2.7% decline in average realisations. The domestic market contributed 78% of revenue (vs 72% in Q2 FY25), with export demand softening due to logistics cost pressure in key markets.</w:t>
      </w:r>
    </w:p>
    <w:p>
      <w:pPr>
        <w:spacing w:before="160" w:after="60"/>
      </w:pPr>
      <w:r>
        <w:rPr>
          <w:b/>
          <w:color w:val="1A3C5E"/>
          <w:sz w:val="22"/>
        </w:rPr>
        <w:t>Gross Margin Compression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Gross margins contracted 250 bps to 39.0%, primarily due to raw material inflation. Key input costs — polymer and steel — rose 14–18% YoY. The Company was able to pass on approximately 60% of the cost increase through selective price revisions, with the remaining 40% absorbed to protect market share in the competitive SME segment.</w:t>
      </w:r>
    </w:p>
    <w:p>
      <w:pPr>
        <w:spacing w:before="160" w:after="60"/>
      </w:pPr>
      <w:r>
        <w:rPr>
          <w:b/>
          <w:color w:val="1A3C5E"/>
          <w:sz w:val="22"/>
        </w:rPr>
        <w:t>EBITDA and PAT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EBITDA declined 8.0% to Rs 1.62 Cr. Employee costs grew Rs 18 lakhs (8.2% YoY) driven by annual increments and two senior leadership hires. Other expenses rose Rs 22 lakhs, primarily power and logistics costs. PAT of Rs 94 lakhs declined 13% YoY, further impacted by higher depreciation (Rs 8 lakhs) on capital additions in Q1.</w:t>
      </w:r>
    </w:p>
    <w:p>
      <w:pPr>
        <w:spacing w:before="200" w:after="80"/>
      </w:pPr>
      <w:r>
        <w:rPr>
          <w:b/>
          <w:color w:val="2B7CB8"/>
          <w:sz w:val="26"/>
        </w:rPr>
        <w:t>Management Actions — Recommended</w:t>
      </w:r>
    </w:p>
    <w:p>
      <w:pPr>
        <w:pStyle w:val="ListBullet"/>
        <w:spacing w:after="60"/>
      </w:pPr>
      <w:r>
        <w:rPr>
          <w:b/>
          <w:sz w:val="22"/>
        </w:rPr>
        <w:t>Raw material hedging: Initiate 90-day forward contracts on polymer imports to mitigate Q3 exposure. Estimated saving: Rs 20-25 lakhs if locking at current rates</w:t>
      </w:r>
    </w:p>
    <w:p>
      <w:pPr>
        <w:pStyle w:val="ListBullet"/>
        <w:spacing w:after="60"/>
      </w:pPr>
      <w:r>
        <w:rPr>
          <w:b w:val="0"/>
          <w:sz w:val="22"/>
        </w:rPr>
        <w:t>Price revision: Table a 4-6% price increase for domestic SME customers effective 1 January 2026. Finance to model revenue and volume impact before the November board meeting</w:t>
      </w:r>
    </w:p>
    <w:p>
      <w:pPr>
        <w:pStyle w:val="ListBullet"/>
        <w:spacing w:after="60"/>
      </w:pPr>
      <w:r>
        <w:rPr>
          <w:b w:val="0"/>
          <w:sz w:val="22"/>
        </w:rPr>
        <w:t>Cost reduction: Operations team to present a Rs 15-lakh savings plan on power consumption (shift to off-peak production) by end-October 2025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